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76"/>
      </w:tblGrid>
      <w:tr>
        <w:trPr>
          <w:trHeight w:val="400" w:hRule="atLeast"/>
        </w:trPr>
        <w:tc>
          <w:tcPr>
            <w:tcW w:w="9962" w:type="dxa"/>
            <w:gridSpan w:val="3"/>
            <w:vAlign w:val="top"/>
          </w:tcPr>
          <w:p>
            <w:pPr>
              <w:pStyle w:val="0"/>
              <w:suppressAutoHyphens w:val="1"/>
              <w:kinsoku w:val="0"/>
              <w:autoSpaceDE w:val="0"/>
              <w:autoSpaceDN w:val="0"/>
              <w:spacing w:line="366" w:lineRule="atLeast"/>
              <w:jc w:val="center"/>
              <w:rPr>
                <w:rFonts w:hint="eastAsia" w:ascii="ＭＳ ゴシック" w:hAnsi="ＭＳ ゴシック" w:eastAsia="ＭＳ ゴシック"/>
                <w:sz w:val="21"/>
              </w:rPr>
            </w:pPr>
            <w:r>
              <w:rPr>
                <w:rFonts w:hint="eastAsia" w:ascii="ＭＳ ゴシック" w:hAnsi="ＭＳ ゴシック" w:eastAsia="ＭＳ ゴシック"/>
                <w:sz w:val="21"/>
              </w:rPr>
              <w:t>認定権者記載欄</w:t>
            </w:r>
          </w:p>
        </w:tc>
      </w:tr>
      <w:tr>
        <w:trPr>
          <w:trHeight w:val="305"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276"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r>
      <w:tr>
        <w:trPr>
          <w:trHeight w:val="154"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343"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c>
          <w:tcPr>
            <w:tcW w:w="3276" w:type="dxa"/>
            <w:vAlign w:val="top"/>
          </w:tcPr>
          <w:p>
            <w:pPr>
              <w:pStyle w:val="0"/>
              <w:suppressAutoHyphens w:val="1"/>
              <w:kinsoku w:val="0"/>
              <w:wordWrap w:val="0"/>
              <w:autoSpaceDE w:val="0"/>
              <w:autoSpaceDN w:val="0"/>
              <w:spacing w:line="366" w:lineRule="atLeast"/>
              <w:jc w:val="left"/>
              <w:rPr>
                <w:rFonts w:hint="eastAsia" w:ascii="ＭＳ ゴシック" w:hAnsi="ＭＳ ゴシック" w:eastAsia="ＭＳ ゴシック"/>
                <w:sz w:val="21"/>
              </w:rPr>
            </w:pPr>
          </w:p>
        </w:tc>
      </w:tr>
    </w:tbl>
    <w:p>
      <w:pPr>
        <w:pStyle w:val="0"/>
        <w:rPr>
          <w:rFonts w:hint="eastAsia" w:ascii="ＭＳ ゴシック" w:hAnsi="ＭＳ ゴシック" w:eastAsia="ＭＳ ゴシック"/>
          <w:sz w:val="21"/>
        </w:rPr>
      </w:pPr>
      <w:r>
        <w:rPr>
          <w:rFonts w:hint="eastAsia" w:ascii="ＭＳ ゴシック" w:hAnsi="ＭＳ ゴシック" w:eastAsia="ＭＳ ゴシック"/>
          <w:color w:val="000000"/>
          <w:kern w:val="0"/>
          <w:sz w:val="21"/>
        </w:rPr>
        <w:t>様式第５－（ロ）－①</w:t>
      </w:r>
    </w:p>
    <w:tbl>
      <w:tblPr>
        <w:tblStyle w:val="11"/>
        <w:tblW w:w="10035" w:type="dxa"/>
        <w:jc w:val="left"/>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left"/>
              <w:textAlignment w:val="baseline"/>
              <w:rPr>
                <w:rFonts w:hint="eastAsia" w:ascii="ＭＳ ゴシック" w:hAnsi="ＭＳ ゴシック" w:eastAsia="ＭＳ ゴシック"/>
                <w:color w:val="000000"/>
                <w:kern w:val="0"/>
                <w:sz w:val="21"/>
              </w:rPr>
            </w:pPr>
          </w:p>
          <w:p>
            <w:pPr>
              <w:pStyle w:val="0"/>
              <w:suppressAutoHyphens w:val="1"/>
              <w:kinsoku w:val="0"/>
              <w:overflowPunct w:val="0"/>
              <w:autoSpaceDE w:val="0"/>
              <w:autoSpaceDN w:val="0"/>
              <w:adjustRightInd w:val="0"/>
              <w:spacing w:line="240" w:lineRule="exact"/>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中小企業信用保険法第２条第５項第５号の規定による認定申請書（ロ－①）（例）</w:t>
            </w:r>
          </w:p>
          <w:p>
            <w:pPr>
              <w:pStyle w:val="0"/>
              <w:suppressAutoHyphens w:val="1"/>
              <w:kinsoku w:val="0"/>
              <w:wordWrap w:val="0"/>
              <w:overflowPunct w:val="0"/>
              <w:autoSpaceDE w:val="0"/>
              <w:autoSpaceDN w:val="0"/>
              <w:adjustRightInd w:val="0"/>
              <w:spacing w:line="60" w:lineRule="exact"/>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rPr>
              <w:t>伊</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勢</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市</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wordWrap w:val="0"/>
              <w:overflowPunct w:val="0"/>
              <w:autoSpaceDE w:val="0"/>
              <w:autoSpaceDN w:val="0"/>
              <w:adjustRightInd w:val="0"/>
              <w:spacing w:line="60" w:lineRule="exact"/>
              <w:jc w:val="left"/>
              <w:textAlignment w:val="baseline"/>
              <w:rPr>
                <w:rFonts w:hint="eastAsia" w:ascii="ＭＳ ゴシック" w:hAnsi="ＭＳ ゴシック" w:eastAsia="ＭＳ ゴシック"/>
                <w:color w:val="000000"/>
                <w:spacing w:val="16"/>
                <w:kern w:val="0"/>
                <w:sz w:val="21"/>
              </w:rPr>
            </w:pPr>
            <w:bookmarkStart w:id="0" w:name="_GoBack"/>
            <w:bookmarkEnd w:id="0"/>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住　所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氏　名　（名称及び代表者の氏名）</w:t>
            </w:r>
            <w:r>
              <w:rPr>
                <w:rFonts w:hint="eastAsia" w:ascii="ＭＳ ゴシック" w:hAnsi="ＭＳ ゴシック" w:eastAsia="ＭＳ ゴシック"/>
                <w:color w:val="000000"/>
                <w:kern w:val="0"/>
                <w:sz w:val="21"/>
                <w:u w:val="single" w:color="00000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spacing w:line="240" w:lineRule="exact"/>
              <w:ind w:right="487" w:rightChars="23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0"/>
              <w:suppressAutoHyphens w:val="1"/>
              <w:kinsoku w:val="0"/>
              <w:wordWrap w:val="0"/>
              <w:overflowPunct w:val="0"/>
              <w:autoSpaceDE w:val="0"/>
              <w:autoSpaceDN w:val="0"/>
              <w:adjustRightInd w:val="0"/>
              <w:spacing w:line="120" w:lineRule="exact"/>
              <w:jc w:val="left"/>
              <w:textAlignment w:val="baseline"/>
              <w:rPr>
                <w:rFonts w:hint="eastAsia" w:ascii="ＭＳ ゴシック" w:hAnsi="ＭＳ ゴシック" w:eastAsia="ＭＳ ゴシック"/>
                <w:color w:val="000000"/>
                <w:spacing w:val="16"/>
                <w:kern w:val="0"/>
                <w:sz w:val="21"/>
              </w:rPr>
            </w:pPr>
          </w:p>
          <w:p>
            <w:pPr>
              <w:pStyle w:val="17"/>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r>
              <w:rPr>
                <w:rFonts w:hint="eastAsia" w:ascii="ＭＳ ゴシック" w:hAnsi="ＭＳ ゴシック" w:eastAsia="ＭＳ ゴシック"/>
                <w:sz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eastAsia" w:ascii="ＭＳ ゴシック" w:hAnsi="ＭＳ ゴシック" w:eastAsia="ＭＳ ゴシック"/>
                      <w:color w:val="000000"/>
                      <w:spacing w:val="16"/>
                      <w:kern w:val="0"/>
                      <w:sz w:val="21"/>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1"/>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1"/>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1"/>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1"/>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1"/>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spacing w:val="16"/>
                <w:kern w:val="0"/>
                <w:sz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120" w:lineRule="exact"/>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spacing w:line="240" w:lineRule="exact"/>
              <w:jc w:val="center"/>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記</w:t>
            </w:r>
          </w:p>
          <w:p>
            <w:pPr>
              <w:pStyle w:val="0"/>
              <w:suppressAutoHyphens w:val="1"/>
              <w:kinsoku w:val="0"/>
              <w:wordWrap w:val="0"/>
              <w:overflowPunct w:val="0"/>
              <w:autoSpaceDE w:val="0"/>
              <w:autoSpaceDN w:val="0"/>
              <w:adjustRightInd w:val="0"/>
              <w:spacing w:line="240" w:lineRule="exact"/>
              <w:jc w:val="center"/>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21"/>
              </w:rPr>
              <w:t>事業開始年月日　　　　　　　　　　　　　　　　　　　　　</w:t>
            </w:r>
            <w:r>
              <w:rPr>
                <w:rFonts w:hint="eastAsia" w:ascii="ＭＳ ゴシック" w:hAnsi="ＭＳ ゴシック" w:eastAsia="ＭＳ ゴシック"/>
                <w:color w:val="000000"/>
                <w:spacing w:val="16"/>
                <w:kern w:val="0"/>
                <w:sz w:val="21"/>
                <w:u w:val="single" w:color="auto"/>
              </w:rPr>
              <w:t>　　　年　　　月　　　日</w:t>
            </w:r>
          </w:p>
          <w:p>
            <w:pPr>
              <w:pStyle w:val="0"/>
              <w:suppressAutoHyphens w:val="1"/>
              <w:kinsoku w:val="0"/>
              <w:wordWrap w:val="0"/>
              <w:overflowPunct w:val="0"/>
              <w:autoSpaceDE w:val="0"/>
              <w:autoSpaceDN w:val="0"/>
              <w:adjustRightInd w:val="0"/>
              <w:spacing w:line="120" w:lineRule="exact"/>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①原油等の仕入単価の上昇（注２）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Ｅ</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ｅ</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100</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100</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上昇率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Ｅ：原油等の最近１か月間における平均仕入れ単価（　　　年　　　月）</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kern w:val="0"/>
                <w:sz w:val="21"/>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ｅ：Ｅの期間に対応する前年１か月間の平均仕入れ単価（</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年</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月）</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円（注４）</w:t>
            </w:r>
          </w:p>
          <w:p>
            <w:pPr>
              <w:pStyle w:val="0"/>
              <w:suppressAutoHyphens w:val="1"/>
              <w:kinsoku w:val="0"/>
              <w:wordWrap w:val="0"/>
              <w:overflowPunct w:val="0"/>
              <w:autoSpaceDE w:val="0"/>
              <w:autoSpaceDN w:val="0"/>
              <w:adjustRightInd w:val="0"/>
              <w:spacing w:line="60" w:lineRule="exact"/>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②原油等が売上原価に占める割合（注２）</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Ｓ</w:t>
            </w:r>
            <w:r>
              <w:rPr>
                <w:rFonts w:hint="eastAsia" w:ascii="ＭＳ ゴシック" w:hAnsi="ＭＳ ゴシック" w:eastAsia="ＭＳ ゴシック"/>
                <w:color w:val="000000"/>
                <w:kern w:val="0"/>
                <w:sz w:val="21"/>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Ｃ</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 xml:space="preserve">100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依存率</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Ｃ：最近１か月の売上原価（　　　　年　　　月</w:t>
            </w:r>
            <w:r>
              <w:rPr>
                <w:rFonts w:hint="eastAsia" w:ascii="ＭＳ ゴシック" w:hAnsi="ＭＳ ゴシック" w:eastAsia="ＭＳ ゴシック"/>
                <w:color w:val="000000"/>
                <w:spacing w:val="16"/>
                <w:kern w:val="0"/>
                <w:sz w:val="21"/>
              </w:rPr>
              <w:t>）</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Ｓ：Ｃの売上原価に対応する原油等の仕入額</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③製品等価格への転嫁の状況（注３）</w:t>
            </w:r>
          </w:p>
          <w:p>
            <w:pPr>
              <w:pStyle w:val="0"/>
              <w:suppressAutoHyphens w:val="1"/>
              <w:kinsoku w:val="0"/>
              <w:overflowPunct w:val="0"/>
              <w:autoSpaceDE w:val="0"/>
              <w:autoSpaceDN w:val="0"/>
              <w:adjustRightInd w:val="0"/>
              <w:spacing w:line="230" w:lineRule="exac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Ａ</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ａ</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rPr>
              <w:t>　　　　　　</w:t>
            </w:r>
          </w:p>
          <w:p>
            <w:pPr>
              <w:pStyle w:val="0"/>
              <w:suppressAutoHyphens w:val="1"/>
              <w:kinsoku w:val="0"/>
              <w:wordWrap w:val="0"/>
              <w:overflowPunct w:val="0"/>
              <w:autoSpaceDE w:val="0"/>
              <w:autoSpaceDN w:val="0"/>
              <w:adjustRightInd w:val="0"/>
              <w:spacing w:line="230" w:lineRule="exac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Ｂ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ｂ</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＝Ｐ</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Ｐ＝</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Ａ：最近３か月間の原油等の仕入額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年　　　月　　～　　　年　　　月）</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ａ：Ａの期間に対応する前年３か月間の原油等の仕入額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年　　　月　　～　　　年　　　月）　</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Ｂ：最近３か月間の売上高　</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年　　　月　　～　　　年　　　月）</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ｂ：Ｂの期間に対応する前年３か月間の売上高</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年　　　月　　～　　　年　　　月）</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円（注４）</w:t>
            </w:r>
          </w:p>
          <w:p>
            <w:pPr>
              <w:pStyle w:val="0"/>
              <w:rPr>
                <w:rFonts w:hint="eastAsia" w:ascii="ＭＳ ゴシック" w:hAnsi="ＭＳ ゴシック" w:eastAsia="ＭＳ ゴシック"/>
                <w:color w:val="000000"/>
                <w:spacing w:val="16"/>
                <w:kern w:val="0"/>
                <w:sz w:val="21"/>
              </w:rPr>
            </w:pPr>
          </w:p>
        </w:tc>
      </w:tr>
    </w:tbl>
    <w:p>
      <w:pPr>
        <w:pStyle w:val="0"/>
        <w:suppressAutoHyphens w:val="1"/>
        <w:wordWrap w:val="0"/>
        <w:spacing w:line="240" w:lineRule="exact"/>
        <w:ind w:left="862" w:hanging="86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（注２）上昇率及び依存率が２０％以上となっていること。</w:t>
      </w:r>
    </w:p>
    <w:p>
      <w:pPr>
        <w:pStyle w:val="0"/>
        <w:suppressAutoHyphens w:val="1"/>
        <w:spacing w:line="230" w:lineRule="exact"/>
        <w:ind w:left="738" w:hanging="738"/>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（注３）Ｐ＞０となっていること。</w:t>
      </w:r>
    </w:p>
    <w:p>
      <w:pPr>
        <w:pStyle w:val="0"/>
        <w:suppressAutoHyphens w:val="1"/>
        <w:spacing w:line="230" w:lineRule="exact"/>
        <w:ind w:left="738" w:hanging="738"/>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（注４）申請者全体の値を記載。</w:t>
      </w:r>
    </w:p>
    <w:p>
      <w:pPr>
        <w:pStyle w:val="0"/>
        <w:suppressAutoHyphens w:val="1"/>
        <w:ind w:left="1230" w:hanging="123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（留意事項）</w:t>
      </w:r>
    </w:p>
    <w:p>
      <w:pPr>
        <w:pStyle w:val="19"/>
        <w:numPr>
          <w:ilvl w:val="0"/>
          <w:numId w:val="1"/>
        </w:numPr>
        <w:suppressAutoHyphens w:val="1"/>
        <w:ind w:leftChars="0" w:right="210" w:rightChars="1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本認定とは別に、金融機関及び信用保証協会による金融上の審査があります。</w:t>
      </w:r>
    </w:p>
    <w:p>
      <w:pPr>
        <w:pStyle w:val="19"/>
        <w:numPr>
          <w:ilvl w:val="0"/>
          <w:numId w:val="1"/>
        </w:numPr>
        <w:suppressAutoHyphens w:val="1"/>
        <w:ind w:leftChars="0" w:right="210" w:rightChars="1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sz w:val="21"/>
        </w:rPr>
        <w:t>市町村長又は特別区長から認定を受けた日から３０日以内に金融機関又は信用保証協会に対して、保証の申込みを行うことが必要です。</w:t>
      </w:r>
    </w:p>
    <w:p>
      <w:pPr>
        <w:pStyle w:val="0"/>
        <w:pBdr>
          <w:top w:val="dotted" w:color="000000" w:sz="4" w:space="0"/>
        </w:pBdr>
        <w:wordWrap w:val="0"/>
        <w:spacing w:line="258" w:lineRule="exact"/>
        <w:rPr>
          <w:rFonts w:hint="eastAsia" w:ascii="ＭＳ ゴシック" w:hAnsi="ＭＳ ゴシック" w:eastAsia="ＭＳ ゴシック"/>
          <w:spacing w:val="14"/>
          <w:sz w:val="21"/>
        </w:rPr>
      </w:pPr>
    </w:p>
    <w:p>
      <w:pPr>
        <w:pStyle w:val="0"/>
        <w:wordWrap w:val="0"/>
        <w:spacing w:line="260" w:lineRule="exact"/>
        <w:rPr>
          <w:rFonts w:hint="eastAsia" w:ascii="ＭＳ ゴシック" w:hAnsi="ＭＳ ゴシック" w:eastAsia="ＭＳ ゴシック"/>
          <w:spacing w:val="14"/>
          <w:sz w:val="21"/>
        </w:rPr>
      </w:pP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　　　　　　　　　　　　　　　　　　　</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　　　</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　商</w:t>
      </w:r>
      <w:r>
        <w:rPr>
          <w:rFonts w:hint="eastAsia" w:ascii="ＭＳ ゴシック" w:hAnsi="ＭＳ ゴシック" w:eastAsia="ＭＳ ゴシック"/>
          <w:spacing w:val="14"/>
          <w:sz w:val="21"/>
        </w:rPr>
        <w:t>第　　　号</w:t>
      </w:r>
    </w:p>
    <w:p>
      <w:pPr>
        <w:pStyle w:val="0"/>
        <w:wordWrap w:val="0"/>
        <w:spacing w:line="260" w:lineRule="exact"/>
        <w:ind w:rightChars="0"/>
        <w:rPr>
          <w:rFonts w:hint="eastAsia" w:ascii="ＭＳ ゴシック" w:hAnsi="ＭＳ ゴシック" w:eastAsia="ＭＳ ゴシック"/>
          <w:spacing w:val="14"/>
          <w:sz w:val="21"/>
        </w:rPr>
      </w:pP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　　　　　　　　　　　　　　　　　</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令和　　年　　月　　日</w:t>
      </w:r>
    </w:p>
    <w:p>
      <w:pPr>
        <w:pStyle w:val="0"/>
        <w:wordWrap w:val="0"/>
        <w:spacing w:line="260" w:lineRule="exact"/>
        <w:rPr>
          <w:rFonts w:hint="eastAsia" w:ascii="ＭＳ ゴシック" w:hAnsi="ＭＳ ゴシック" w:eastAsia="ＭＳ ゴシック"/>
          <w:spacing w:val="14"/>
          <w:sz w:val="21"/>
        </w:rPr>
      </w:pPr>
    </w:p>
    <w:p>
      <w:pPr>
        <w:pStyle w:val="0"/>
        <w:wordWrap w:val="0"/>
        <w:spacing w:line="260" w:lineRule="exact"/>
        <w:rPr>
          <w:rFonts w:hint="eastAsia" w:ascii="ＭＳ ゴシック" w:hAnsi="ＭＳ ゴシック" w:eastAsia="ＭＳ ゴシック"/>
          <w:spacing w:val="14"/>
          <w:sz w:val="21"/>
        </w:rPr>
      </w:pP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　　</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申請のとおり、相違ないことを認定します。</w:t>
      </w:r>
    </w:p>
    <w:p>
      <w:pPr>
        <w:pStyle w:val="0"/>
        <w:wordWrap w:val="0"/>
        <w:spacing w:line="260" w:lineRule="exact"/>
        <w:rPr>
          <w:rFonts w:hint="eastAsia" w:ascii="ＭＳ ゴシック" w:hAnsi="ＭＳ ゴシック" w:eastAsia="ＭＳ ゴシック"/>
          <w:spacing w:val="14"/>
          <w:sz w:val="21"/>
        </w:rPr>
      </w:pP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（注）本認定書の有効期間：令和　年　月　日から令和　年　月　日まで</w:t>
      </w:r>
    </w:p>
    <w:p>
      <w:pPr>
        <w:pStyle w:val="0"/>
        <w:wordWrap w:val="0"/>
        <w:spacing w:line="260" w:lineRule="exact"/>
        <w:rPr>
          <w:rFonts w:hint="eastAsia" w:ascii="ＭＳ ゴシック" w:hAnsi="ＭＳ ゴシック" w:eastAsia="ＭＳ ゴシック"/>
          <w:spacing w:val="7"/>
          <w:sz w:val="21"/>
        </w:rPr>
      </w:pPr>
    </w:p>
    <w:p>
      <w:pPr>
        <w:pStyle w:val="0"/>
        <w:wordWrap w:val="0"/>
        <w:spacing w:line="260" w:lineRule="exact"/>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14"/>
          <w:sz w:val="21"/>
        </w:rPr>
        <w:t>認定者名</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伊</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勢</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市</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長</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鈴</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木　</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健</w:t>
      </w:r>
      <w:r>
        <w:rPr>
          <w:rFonts w:hint="eastAsia" w:ascii="ＭＳ ゴシック" w:hAnsi="ＭＳ ゴシック" w:eastAsia="ＭＳ ゴシック"/>
          <w:spacing w:val="7"/>
          <w:sz w:val="21"/>
        </w:rPr>
        <w:t xml:space="preserve"> </w:t>
      </w:r>
      <w:r>
        <w:rPr>
          <w:rFonts w:hint="eastAsia" w:ascii="ＭＳ ゴシック" w:hAnsi="ＭＳ ゴシック" w:eastAsia="ＭＳ ゴシック"/>
          <w:spacing w:val="7"/>
          <w:sz w:val="21"/>
        </w:rPr>
        <w:t>一</w:t>
      </w:r>
    </w:p>
    <w:p>
      <w:pPr>
        <w:pStyle w:val="0"/>
        <w:rPr>
          <w:rFonts w:hint="eastAsia" w:ascii="ＭＳ ゴシック" w:hAnsi="ＭＳ ゴシック" w:eastAsia="ＭＳ ゴシック"/>
          <w:sz w:val="21"/>
        </w:rPr>
      </w:pPr>
    </w:p>
    <w:sectPr>
      <w:pgSz w:w="11906" w:h="16838"/>
      <w:pgMar w:top="1417" w:right="1417" w:bottom="1417" w:left="141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ゴシック" w:hAnsi="ＭＳ ゴシック" w:eastAsia="ＭＳ ゴシック"/>
      <w:color w:val="000000"/>
      <w:sz w:val="21"/>
    </w:rPr>
  </w:style>
  <w:style w:type="paragraph" w:styleId="19">
    <w:name w:val="List Paragraph"/>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3</Words>
  <Characters>947</Characters>
  <Application>JUST Note</Application>
  <Lines>78</Lines>
  <Paragraphs>46</Paragraphs>
  <Company>伊勢市</Company>
  <CharactersWithSpaces>1711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2024-11-13T02:50:00Z</dcterms:created>
  <dcterms:modified xsi:type="dcterms:W3CDTF">2024-11-15T04:44:41Z</dcterms:modified>
  <cp:revision>1</cp:revision>
</cp:coreProperties>
</file>