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36"/>
          <w:u w:val="double" w:color="auto"/>
        </w:rPr>
      </w:pPr>
    </w:p>
    <w:p>
      <w:pPr>
        <w:pStyle w:val="0"/>
        <w:jc w:val="center"/>
        <w:rPr>
          <w:rFonts w:hint="default" w:asciiTheme="majorEastAsia" w:hAnsiTheme="majorEastAsia" w:eastAsiaTheme="majorEastAsia"/>
          <w:b w:val="1"/>
          <w:sz w:val="36"/>
          <w:u w:val="double" w:color="auto"/>
        </w:rPr>
      </w:pPr>
    </w:p>
    <w:p>
      <w:pPr>
        <w:pStyle w:val="0"/>
        <w:jc w:val="center"/>
        <w:rPr>
          <w:rFonts w:hint="default" w:asciiTheme="majorEastAsia" w:hAnsiTheme="majorEastAsia" w:eastAsiaTheme="majorEastAsia"/>
          <w:b w:val="1"/>
          <w:sz w:val="36"/>
          <w:u w:val="double" w:color="auto"/>
        </w:rPr>
      </w:pPr>
      <w:r>
        <w:rPr>
          <w:rFonts w:hint="eastAsia" w:asciiTheme="majorEastAsia" w:hAnsiTheme="majorEastAsia" w:eastAsiaTheme="majorEastAsia"/>
          <w:b w:val="1"/>
          <w:sz w:val="36"/>
          <w:u w:val="double" w:color="auto"/>
        </w:rPr>
        <w:t>国民健康保険に関するお知らせ</w:t>
      </w:r>
    </w:p>
    <w:p>
      <w:pPr>
        <w:pStyle w:val="0"/>
        <w:spacing w:line="340" w:lineRule="exact"/>
        <w:rPr>
          <w:rFonts w:hint="default" w:ascii="メイリオ" w:hAnsi="メイリオ" w:eastAsia="メイリオ"/>
        </w:rPr>
      </w:pPr>
    </w:p>
    <w:p>
      <w:pPr>
        <w:pStyle w:val="20"/>
        <w:numPr>
          <w:ilvl w:val="0"/>
          <w:numId w:val="1"/>
        </w:numPr>
        <w:spacing w:line="400" w:lineRule="exact"/>
        <w:ind w:leftChars="0" w:firstLine="6"/>
        <w:rPr>
          <w:rFonts w:hint="default" w:ascii="メイリオ" w:hAnsi="メイリオ" w:eastAsia="メイリオ"/>
          <w:b w:val="1"/>
          <w:sz w:val="28"/>
        </w:rPr>
      </w:pPr>
      <w:r>
        <w:rPr>
          <w:rFonts w:hint="eastAsia" w:ascii="メイリオ" w:hAnsi="メイリオ" w:eastAsia="メイリオ"/>
          <w:b w:val="1"/>
          <w:sz w:val="28"/>
        </w:rPr>
        <w:t>資格確認書・資格情報のお知らせ</w:t>
      </w:r>
    </w:p>
    <w:p>
      <w:pPr>
        <w:pStyle w:val="0"/>
        <w:spacing w:line="320" w:lineRule="exact"/>
        <w:ind w:left="720" w:leftChars="300"/>
        <w:rPr>
          <w:rFonts w:hint="default" w:ascii="メイリオ" w:hAnsi="メイリオ" w:eastAsia="メイリオ"/>
          <w:sz w:val="22"/>
        </w:rPr>
      </w:pPr>
      <w:r>
        <w:rPr>
          <w:rFonts w:hint="eastAsia" w:ascii="メイリオ" w:hAnsi="メイリオ" w:eastAsia="メイリオ"/>
          <w:sz w:val="22"/>
        </w:rPr>
        <w:t>　令和６年</w:t>
      </w:r>
      <w:r>
        <w:rPr>
          <w:rFonts w:hint="eastAsia" w:ascii="メイリオ" w:hAnsi="メイリオ" w:eastAsia="メイリオ"/>
          <w:sz w:val="22"/>
        </w:rPr>
        <w:t>12</w:t>
      </w:r>
      <w:r>
        <w:rPr>
          <w:rFonts w:hint="eastAsia" w:ascii="メイリオ" w:hAnsi="メイリオ" w:eastAsia="メイリオ"/>
          <w:sz w:val="22"/>
        </w:rPr>
        <w:t>月</w:t>
      </w:r>
      <w:r>
        <w:rPr>
          <w:rFonts w:hint="eastAsia" w:ascii="メイリオ" w:hAnsi="メイリオ" w:eastAsia="メイリオ"/>
          <w:sz w:val="22"/>
        </w:rPr>
        <w:t>2</w:t>
      </w:r>
      <w:r>
        <w:rPr>
          <w:rFonts w:hint="eastAsia" w:ascii="メイリオ" w:hAnsi="メイリオ" w:eastAsia="メイリオ"/>
          <w:sz w:val="22"/>
        </w:rPr>
        <w:t>日以降、従来の保険証の新規交付が終了しました。</w:t>
      </w:r>
    </w:p>
    <w:p>
      <w:pPr>
        <w:pStyle w:val="0"/>
        <w:spacing w:line="320" w:lineRule="exact"/>
        <w:ind w:left="720" w:leftChars="300" w:firstLine="220" w:firstLineChars="100"/>
        <w:rPr>
          <w:rFonts w:hint="default" w:ascii="メイリオ" w:hAnsi="メイリオ" w:eastAsia="メイリオ"/>
          <w:sz w:val="22"/>
        </w:rPr>
      </w:pPr>
      <w:r>
        <w:rPr>
          <w:rFonts w:hint="eastAsia" w:ascii="メイリオ" w:hAnsi="メイリオ" w:eastAsia="メイリオ"/>
          <w:sz w:val="22"/>
        </w:rPr>
        <w:t>令和７年８月１日以降に医療機関等を受診する際は、マイナ保険証</w:t>
      </w:r>
      <w:r>
        <w:rPr>
          <w:rFonts w:hint="eastAsia" w:ascii="メイリオ" w:hAnsi="メイリオ" w:eastAsia="メイリオ"/>
          <w:sz w:val="21"/>
        </w:rPr>
        <w:t>（※１）</w:t>
      </w:r>
      <w:r>
        <w:rPr>
          <w:rFonts w:hint="eastAsia" w:ascii="メイリオ" w:hAnsi="メイリオ" w:eastAsia="メイリオ"/>
          <w:sz w:val="22"/>
        </w:rPr>
        <w:t>を保有している人はマイナンバーカードを、マイナ保険証を保有していない人は「資格確認書」を利用し受診してください。</w:t>
      </w:r>
    </w:p>
    <w:p>
      <w:pPr>
        <w:pStyle w:val="0"/>
        <w:spacing w:line="320" w:lineRule="exact"/>
        <w:ind w:left="720" w:leftChars="300" w:firstLine="220" w:firstLineChars="100"/>
        <w:rPr>
          <w:rFonts w:hint="default" w:ascii="メイリオ" w:hAnsi="メイリオ" w:eastAsia="メイリオ"/>
          <w:sz w:val="22"/>
        </w:rPr>
      </w:pPr>
      <w:r>
        <w:rPr>
          <w:rFonts w:hint="eastAsia" w:ascii="メイリオ" w:hAnsi="メイリオ" w:eastAsia="メイリオ"/>
          <w:sz w:val="22"/>
        </w:rPr>
        <w:t>また、「資格情報のお知らせ」の有効期限は年齢によって異なります。７０歳未満の人は有効期限がありませんので、伊勢市国民健康保険の資格を喪失するまでは大切に保管してください。</w:t>
      </w:r>
    </w:p>
    <w:p>
      <w:pPr>
        <w:pStyle w:val="0"/>
        <w:spacing w:line="320" w:lineRule="exact"/>
        <w:rPr>
          <w:rFonts w:hint="default" w:ascii="メイリオ" w:hAnsi="メイリオ" w:eastAsia="メイリオ"/>
          <w:sz w:val="21"/>
        </w:rPr>
      </w:pPr>
      <w:r>
        <w:rPr>
          <w:rFonts w:hint="eastAsia" w:ascii="メイリオ" w:hAnsi="メイリオ" w:eastAsia="メイリオ"/>
          <w:sz w:val="21"/>
        </w:rPr>
        <w:t>　　　</w:t>
      </w:r>
      <w:r>
        <w:rPr>
          <w:rFonts w:hint="eastAsia" w:ascii="メイリオ" w:hAnsi="メイリオ" w:eastAsia="メイリオ"/>
          <w:sz w:val="21"/>
        </w:rPr>
        <w:t xml:space="preserve"> </w:t>
      </w:r>
      <w:r>
        <w:rPr>
          <w:rFonts w:hint="eastAsia" w:ascii="メイリオ" w:hAnsi="メイリオ" w:eastAsia="メイリオ"/>
          <w:sz w:val="21"/>
        </w:rPr>
        <w:t>（※１）健康保険証として利用登録をしたマイナンバーカード</w:t>
      </w:r>
    </w:p>
    <w:p>
      <w:pPr>
        <w:pStyle w:val="0"/>
        <w:numPr>
          <w:numId w:val="0"/>
        </w:numPr>
        <w:spacing w:line="400" w:lineRule="exact"/>
        <w:ind w:left="0" w:leftChars="0" w:firstLineChars="0"/>
        <w:rPr>
          <w:rFonts w:hint="default" w:ascii="メイリオ" w:hAnsi="メイリオ" w:eastAsia="メイリオ"/>
          <w:sz w:val="22"/>
        </w:rPr>
      </w:pPr>
    </w:p>
    <w:p>
      <w:pPr>
        <w:pStyle w:val="20"/>
        <w:spacing w:line="200" w:lineRule="exact"/>
        <w:ind w:left="851" w:leftChars="0" w:firstLine="220" w:firstLineChars="100"/>
        <w:rPr>
          <w:rFonts w:hint="default" w:ascii="メイリオ" w:hAnsi="メイリオ" w:eastAsia="メイリオ"/>
          <w:sz w:val="22"/>
        </w:rPr>
      </w:pPr>
    </w:p>
    <w:p>
      <w:pPr>
        <w:pStyle w:val="20"/>
        <w:numPr>
          <w:ilvl w:val="0"/>
          <w:numId w:val="1"/>
        </w:numPr>
        <w:spacing w:line="400" w:lineRule="exact"/>
        <w:ind w:left="850" w:leftChars="178" w:hanging="423" w:hangingChars="151"/>
        <w:rPr>
          <w:rFonts w:hint="default" w:ascii="メイリオ" w:hAnsi="メイリオ" w:eastAsia="メイリオ"/>
          <w:b w:val="1"/>
          <w:sz w:val="28"/>
        </w:rPr>
      </w:pPr>
      <w:r>
        <w:rPr>
          <w:rFonts w:hint="eastAsia" w:ascii="メイリオ" w:hAnsi="メイリオ" w:eastAsia="メイリオ"/>
          <w:b w:val="1"/>
          <w:sz w:val="28"/>
        </w:rPr>
        <w:t>マイナンバーカードを保険証として利用できる医療機関・薬局では限度額適用認定証等の提示が不要です</w:t>
      </w:r>
    </w:p>
    <w:p>
      <w:pPr>
        <w:pStyle w:val="0"/>
        <w:spacing w:line="320" w:lineRule="exact"/>
        <w:ind w:left="720" w:leftChars="300" w:firstLine="220" w:firstLineChars="100"/>
        <w:rPr>
          <w:rFonts w:hint="default" w:ascii="メイリオ" w:hAnsi="メイリオ" w:eastAsia="メイリオ"/>
          <w:sz w:val="22"/>
        </w:rPr>
      </w:pPr>
      <w:r>
        <w:rPr>
          <w:rFonts w:hint="eastAsia" w:ascii="メイリオ" w:hAnsi="メイリオ" w:eastAsia="メイリオ"/>
          <w:sz w:val="22"/>
        </w:rPr>
        <w:t>医療費のお支払いが高額になる場合、「限度額適用認定証」を医療機関・薬局に提示することにより、窓口でのお支払いが高額療養費制度における自己負担限度額までになります。限度額適用認定証は事前に交付申請が必要となりますが、マイナンバーカードを保険証として利用できる医療機関・薬局では、マイナンバーカード（※</w:t>
      </w:r>
      <w:r>
        <w:rPr>
          <w:rFonts w:hint="eastAsia" w:ascii="メイリオ" w:hAnsi="メイリオ" w:eastAsia="メイリオ"/>
          <w:sz w:val="22"/>
        </w:rPr>
        <w:t>2</w:t>
      </w:r>
      <w:r>
        <w:rPr>
          <w:rFonts w:hint="eastAsia" w:ascii="メイリオ" w:hAnsi="メイリオ" w:eastAsia="メイリオ"/>
          <w:sz w:val="22"/>
        </w:rPr>
        <w:t>）または「資格確認書」を提示し医療機関・薬局による限度額情報の閲覧に同意する場合は、事前申請不要で、限度額までの負担となります。　</w:t>
      </w:r>
    </w:p>
    <w:p>
      <w:pPr>
        <w:pStyle w:val="0"/>
        <w:spacing w:line="320" w:lineRule="exact"/>
        <w:ind w:left="720" w:leftChars="300" w:firstLine="220" w:firstLineChars="100"/>
        <w:rPr>
          <w:rFonts w:hint="default" w:ascii="メイリオ" w:hAnsi="メイリオ" w:eastAsia="メイリオ"/>
          <w:sz w:val="22"/>
        </w:rPr>
      </w:pPr>
      <w:r>
        <w:rPr>
          <w:rFonts w:hint="eastAsia" w:ascii="メイリオ" w:hAnsi="メイリオ" w:eastAsia="メイリオ"/>
          <w:sz w:val="22"/>
        </w:rPr>
        <w:t>ただし、国民健康保険料に滞納がある場合や前年中などの所得が把握できない場合は適用を受けられないことがあります。また、住民税非課税世帯（低所得Ⅰの区分を除く）で長期入院に該当する場合は、これまでどおり申請が必要です。</w:t>
      </w:r>
    </w:p>
    <w:p>
      <w:pPr>
        <w:pStyle w:val="0"/>
        <w:spacing w:line="320" w:lineRule="exact"/>
        <w:ind w:left="720" w:leftChars="300"/>
        <w:rPr>
          <w:rFonts w:hint="default" w:ascii="メイリオ" w:hAnsi="メイリオ" w:eastAsia="メイリオ"/>
          <w:sz w:val="21"/>
        </w:rPr>
      </w:pPr>
      <w:r>
        <w:rPr>
          <w:rFonts w:hint="eastAsia" w:ascii="メイリオ" w:hAnsi="メイリオ" w:eastAsia="メイリオ"/>
          <w:sz w:val="21"/>
        </w:rPr>
        <w:t>（※</w:t>
      </w:r>
      <w:r>
        <w:rPr>
          <w:rFonts w:hint="eastAsia" w:ascii="メイリオ" w:hAnsi="メイリオ" w:eastAsia="メイリオ"/>
          <w:sz w:val="21"/>
        </w:rPr>
        <w:t>2</w:t>
      </w:r>
      <w:r>
        <w:rPr>
          <w:rFonts w:hint="eastAsia" w:ascii="メイリオ" w:hAnsi="メイリオ" w:eastAsia="メイリオ"/>
          <w:sz w:val="21"/>
        </w:rPr>
        <w:t>）マイナンバーカードを保険証として利用するためには、事前に利用登録が必要です。</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rPr>
      </w:pPr>
      <w:r>
        <w:rPr>
          <w:rFonts w:hint="default"/>
        </w:rPr>
        <mc:AlternateContent>
          <mc:Choice Requires="wps">
            <w:drawing>
              <wp:anchor distT="0" distB="0" distL="203200" distR="203200" simplePos="0" relativeHeight="3" behindDoc="0" locked="0" layoutInCell="1" hidden="0" allowOverlap="1">
                <wp:simplePos x="0" y="0"/>
                <wp:positionH relativeFrom="page">
                  <wp:posOffset>2148205</wp:posOffset>
                </wp:positionH>
                <wp:positionV relativeFrom="paragraph">
                  <wp:posOffset>320040</wp:posOffset>
                </wp:positionV>
                <wp:extent cx="3705225" cy="89979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3705225" cy="899795"/>
                        </a:xfrm>
                        <a:prstGeom prst="rect">
                          <a:avLst/>
                        </a:prstGeom>
                        <a:noFill/>
                        <a:ln w="12700" cap="flat" cmpd="sng" algn="ctr">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00" w:lineRule="exact"/>
                              <w:jc w:val="left"/>
                              <w:rPr>
                                <w:rFonts w:hint="default" w:ascii="メイリオ" w:hAnsi="メイリオ" w:eastAsia="メイリオ"/>
                                <w:color w:val="000000" w:themeColor="text1"/>
                                <w:sz w:val="22"/>
                              </w:rPr>
                            </w:pPr>
                            <w:r>
                              <w:rPr>
                                <w:rFonts w:hint="eastAsia" w:ascii="メイリオ" w:hAnsi="メイリオ" w:eastAsia="メイリオ"/>
                                <w:color w:val="000000" w:themeColor="text1"/>
                                <w:sz w:val="22"/>
                              </w:rPr>
                              <w:t>伊勢市医療保険課国民健康保険給付係</w:t>
                            </w:r>
                          </w:p>
                          <w:p>
                            <w:pPr>
                              <w:pStyle w:val="0"/>
                              <w:spacing w:line="300" w:lineRule="exact"/>
                              <w:jc w:val="left"/>
                              <w:rPr>
                                <w:rFonts w:hint="default" w:ascii="メイリオ" w:hAnsi="メイリオ" w:eastAsia="メイリオ"/>
                                <w:color w:val="000000" w:themeColor="text1"/>
                                <w:sz w:val="22"/>
                              </w:rPr>
                            </w:pPr>
                            <w:r>
                              <w:rPr>
                                <w:rFonts w:hint="eastAsia" w:ascii="メイリオ" w:hAnsi="メイリオ" w:eastAsia="メイリオ"/>
                                <w:color w:val="000000" w:themeColor="text1"/>
                                <w:sz w:val="22"/>
                              </w:rPr>
                              <w:t>住　　所　伊勢市岩渕</w:t>
                            </w:r>
                            <w:r>
                              <w:rPr>
                                <w:rFonts w:hint="eastAsia" w:ascii="メイリオ" w:hAnsi="メイリオ" w:eastAsia="メイリオ"/>
                                <w:color w:val="000000" w:themeColor="text1"/>
                                <w:sz w:val="22"/>
                              </w:rPr>
                              <w:t>1</w:t>
                            </w:r>
                            <w:r>
                              <w:rPr>
                                <w:rFonts w:hint="eastAsia" w:ascii="メイリオ" w:hAnsi="メイリオ" w:eastAsia="メイリオ"/>
                                <w:color w:val="000000" w:themeColor="text1"/>
                                <w:sz w:val="22"/>
                              </w:rPr>
                              <w:t>丁目</w:t>
                            </w:r>
                            <w:r>
                              <w:rPr>
                                <w:rFonts w:hint="eastAsia" w:ascii="メイリオ" w:hAnsi="メイリオ" w:eastAsia="メイリオ"/>
                                <w:color w:val="000000" w:themeColor="text1"/>
                                <w:sz w:val="22"/>
                              </w:rPr>
                              <w:t>7</w:t>
                            </w:r>
                            <w:r>
                              <w:rPr>
                                <w:rFonts w:hint="eastAsia" w:ascii="メイリオ" w:hAnsi="メイリオ" w:eastAsia="メイリオ"/>
                                <w:color w:val="000000" w:themeColor="text1"/>
                                <w:sz w:val="22"/>
                              </w:rPr>
                              <w:t>番</w:t>
                            </w:r>
                            <w:r>
                              <w:rPr>
                                <w:rFonts w:hint="eastAsia" w:ascii="メイリオ" w:hAnsi="メイリオ" w:eastAsia="メイリオ"/>
                                <w:color w:val="000000" w:themeColor="text1"/>
                                <w:sz w:val="22"/>
                              </w:rPr>
                              <w:t>29</w:t>
                            </w:r>
                            <w:r>
                              <w:rPr>
                                <w:rFonts w:hint="eastAsia" w:ascii="メイリオ" w:hAnsi="メイリオ" w:eastAsia="メイリオ"/>
                                <w:color w:val="000000" w:themeColor="text1"/>
                                <w:sz w:val="22"/>
                              </w:rPr>
                              <w:t>号</w:t>
                            </w:r>
                          </w:p>
                          <w:p>
                            <w:pPr>
                              <w:pStyle w:val="0"/>
                              <w:spacing w:line="300" w:lineRule="exact"/>
                              <w:jc w:val="left"/>
                              <w:rPr>
                                <w:rFonts w:hint="default" w:ascii="メイリオ" w:hAnsi="メイリオ" w:eastAsia="メイリオ"/>
                                <w:sz w:val="22"/>
                              </w:rPr>
                            </w:pPr>
                            <w:r>
                              <w:rPr>
                                <w:rFonts w:hint="eastAsia" w:ascii="メイリオ" w:hAnsi="メイリオ" w:eastAsia="メイリオ"/>
                                <w:color w:val="000000" w:themeColor="text1"/>
                                <w:sz w:val="22"/>
                              </w:rPr>
                              <w:t>本庁舎東館</w:t>
                            </w:r>
                            <w:r>
                              <w:rPr>
                                <w:rFonts w:hint="eastAsia" w:ascii="メイリオ" w:hAnsi="メイリオ" w:eastAsia="メイリオ"/>
                                <w:color w:val="000000" w:themeColor="text1"/>
                                <w:sz w:val="22"/>
                              </w:rPr>
                              <w:t>1</w:t>
                            </w:r>
                            <w:r>
                              <w:rPr>
                                <w:rFonts w:hint="eastAsia" w:ascii="メイリオ" w:hAnsi="メイリオ" w:eastAsia="メイリオ"/>
                                <w:color w:val="000000" w:themeColor="text1"/>
                                <w:sz w:val="22"/>
                              </w:rPr>
                              <w:t>階（</w:t>
                            </w:r>
                            <w:r>
                              <w:rPr>
                                <w:rFonts w:hint="eastAsia" w:ascii="メイリオ" w:hAnsi="メイリオ" w:eastAsia="メイリオ"/>
                                <w:color w:val="000000" w:themeColor="text1"/>
                                <w:sz w:val="22"/>
                              </w:rPr>
                              <w:t>7</w:t>
                            </w:r>
                            <w:r>
                              <w:rPr>
                                <w:rFonts w:hint="eastAsia" w:ascii="メイリオ" w:hAnsi="メイリオ" w:eastAsia="メイリオ"/>
                                <w:color w:val="000000" w:themeColor="text1"/>
                                <w:sz w:val="22"/>
                              </w:rPr>
                              <w:t>番窓口）</w:t>
                            </w:r>
                          </w:p>
                          <w:p>
                            <w:pPr>
                              <w:pStyle w:val="0"/>
                              <w:spacing w:line="300" w:lineRule="exact"/>
                              <w:jc w:val="left"/>
                              <w:rPr>
                                <w:rFonts w:hint="default"/>
                              </w:rPr>
                            </w:pPr>
                            <w:r>
                              <w:rPr>
                                <w:rFonts w:hint="eastAsia" w:ascii="メイリオ" w:hAnsi="メイリオ" w:eastAsia="メイリオ"/>
                                <w:color w:val="000000" w:themeColor="text1"/>
                                <w:sz w:val="22"/>
                              </w:rPr>
                              <w:t>電話番号　</w:t>
                            </w:r>
                            <w:r>
                              <w:rPr>
                                <w:rFonts w:hint="eastAsia" w:ascii="メイリオ" w:hAnsi="メイリオ" w:eastAsia="メイリオ"/>
                                <w:color w:val="000000" w:themeColor="text1"/>
                                <w:sz w:val="22"/>
                              </w:rPr>
                              <w:t>0596-21-5646</w:t>
                            </w:r>
                            <w:r>
                              <w:rPr>
                                <w:rFonts w:hint="eastAsia" w:ascii="メイリオ" w:hAnsi="メイリオ" w:eastAsia="メイリオ"/>
                                <w:color w:val="000000" w:themeColor="text1"/>
                                <w:sz w:val="22"/>
                              </w:rPr>
                              <w:t>　　</w:t>
                            </w:r>
                            <w:r>
                              <w:rPr>
                                <w:rFonts w:hint="eastAsia" w:ascii="メイリオ" w:hAnsi="メイリオ" w:eastAsia="メイリオ"/>
                                <w:color w:val="000000" w:themeColor="text1"/>
                                <w:sz w:val="22"/>
                              </w:rPr>
                              <w:t>FAX</w:t>
                            </w:r>
                            <w:r>
                              <w:rPr>
                                <w:rFonts w:hint="eastAsia" w:ascii="メイリオ" w:hAnsi="メイリオ" w:eastAsia="メイリオ"/>
                                <w:color w:val="000000" w:themeColor="text1"/>
                                <w:sz w:val="22"/>
                              </w:rPr>
                              <w:t>　</w:t>
                            </w:r>
                            <w:r>
                              <w:rPr>
                                <w:rFonts w:hint="eastAsia" w:ascii="メイリオ" w:hAnsi="メイリオ" w:eastAsia="メイリオ"/>
                                <w:color w:val="000000" w:themeColor="text1"/>
                                <w:sz w:val="22"/>
                              </w:rPr>
                              <w:t>0596-20-8555</w:t>
                            </w:r>
                          </w:p>
                        </w:txbxContent>
                      </wps:txbx>
                      <wps:bodyPr vertOverflow="overflow" horzOverflow="overflow" wrap="square" anchor="ctr"/>
                    </wps:wsp>
                  </a:graphicData>
                </a:graphic>
              </wp:anchor>
            </w:drawing>
          </mc:Choice>
          <mc:Fallback>
            <w:pict>
              <v:rect id="正方形/長方形 2" style="mso-position-vertical-relative:text;z-index:3;mso-wrap-distance-left:16pt;width:291.75pt;height:70.84pt;mso-position-horizontal-relative:page;position:absolute;margin-left:169.15pt;margin-top:25.2pt;mso-wrap-distance-bottom:0pt;mso-wrap-distance-right:16pt;mso-wrap-distance-top:0pt;v-text-anchor:middle;" o:spid="_x0000_s1026" o:allowincell="t" o:allowoverlap="t" filled="f" stroked="t" strokecolor="#ffffff [3212]" strokeweight="1pt" o:spt="1">
                <v:fill/>
                <v:stroke linestyle="single" endcap="flat" dashstyle="solid" filltype="solid"/>
                <v:textbox style="layout-flow:horizontal;">
                  <w:txbxContent>
                    <w:p>
                      <w:pPr>
                        <w:pStyle w:val="0"/>
                        <w:spacing w:line="300" w:lineRule="exact"/>
                        <w:jc w:val="left"/>
                        <w:rPr>
                          <w:rFonts w:hint="default" w:ascii="メイリオ" w:hAnsi="メイリオ" w:eastAsia="メイリオ"/>
                          <w:color w:val="000000" w:themeColor="text1"/>
                          <w:sz w:val="22"/>
                        </w:rPr>
                      </w:pPr>
                      <w:r>
                        <w:rPr>
                          <w:rFonts w:hint="eastAsia" w:ascii="メイリオ" w:hAnsi="メイリオ" w:eastAsia="メイリオ"/>
                          <w:color w:val="000000" w:themeColor="text1"/>
                          <w:sz w:val="22"/>
                        </w:rPr>
                        <w:t>伊勢市医療保険課国民健康保険給付係</w:t>
                      </w:r>
                    </w:p>
                    <w:p>
                      <w:pPr>
                        <w:pStyle w:val="0"/>
                        <w:spacing w:line="300" w:lineRule="exact"/>
                        <w:jc w:val="left"/>
                        <w:rPr>
                          <w:rFonts w:hint="default" w:ascii="メイリオ" w:hAnsi="メイリオ" w:eastAsia="メイリオ"/>
                          <w:color w:val="000000" w:themeColor="text1"/>
                          <w:sz w:val="22"/>
                        </w:rPr>
                      </w:pPr>
                      <w:r>
                        <w:rPr>
                          <w:rFonts w:hint="eastAsia" w:ascii="メイリオ" w:hAnsi="メイリオ" w:eastAsia="メイリオ"/>
                          <w:color w:val="000000" w:themeColor="text1"/>
                          <w:sz w:val="22"/>
                        </w:rPr>
                        <w:t>住　　所　伊勢市岩渕</w:t>
                      </w:r>
                      <w:r>
                        <w:rPr>
                          <w:rFonts w:hint="eastAsia" w:ascii="メイリオ" w:hAnsi="メイリオ" w:eastAsia="メイリオ"/>
                          <w:color w:val="000000" w:themeColor="text1"/>
                          <w:sz w:val="22"/>
                        </w:rPr>
                        <w:t>1</w:t>
                      </w:r>
                      <w:r>
                        <w:rPr>
                          <w:rFonts w:hint="eastAsia" w:ascii="メイリオ" w:hAnsi="メイリオ" w:eastAsia="メイリオ"/>
                          <w:color w:val="000000" w:themeColor="text1"/>
                          <w:sz w:val="22"/>
                        </w:rPr>
                        <w:t>丁目</w:t>
                      </w:r>
                      <w:r>
                        <w:rPr>
                          <w:rFonts w:hint="eastAsia" w:ascii="メイリオ" w:hAnsi="メイリオ" w:eastAsia="メイリオ"/>
                          <w:color w:val="000000" w:themeColor="text1"/>
                          <w:sz w:val="22"/>
                        </w:rPr>
                        <w:t>7</w:t>
                      </w:r>
                      <w:r>
                        <w:rPr>
                          <w:rFonts w:hint="eastAsia" w:ascii="メイリオ" w:hAnsi="メイリオ" w:eastAsia="メイリオ"/>
                          <w:color w:val="000000" w:themeColor="text1"/>
                          <w:sz w:val="22"/>
                        </w:rPr>
                        <w:t>番</w:t>
                      </w:r>
                      <w:r>
                        <w:rPr>
                          <w:rFonts w:hint="eastAsia" w:ascii="メイリオ" w:hAnsi="メイリオ" w:eastAsia="メイリオ"/>
                          <w:color w:val="000000" w:themeColor="text1"/>
                          <w:sz w:val="22"/>
                        </w:rPr>
                        <w:t>29</w:t>
                      </w:r>
                      <w:r>
                        <w:rPr>
                          <w:rFonts w:hint="eastAsia" w:ascii="メイリオ" w:hAnsi="メイリオ" w:eastAsia="メイリオ"/>
                          <w:color w:val="000000" w:themeColor="text1"/>
                          <w:sz w:val="22"/>
                        </w:rPr>
                        <w:t>号</w:t>
                      </w:r>
                    </w:p>
                    <w:p>
                      <w:pPr>
                        <w:pStyle w:val="0"/>
                        <w:spacing w:line="300" w:lineRule="exact"/>
                        <w:jc w:val="left"/>
                        <w:rPr>
                          <w:rFonts w:hint="default" w:ascii="メイリオ" w:hAnsi="メイリオ" w:eastAsia="メイリオ"/>
                          <w:sz w:val="22"/>
                        </w:rPr>
                      </w:pPr>
                      <w:r>
                        <w:rPr>
                          <w:rFonts w:hint="eastAsia" w:ascii="メイリオ" w:hAnsi="メイリオ" w:eastAsia="メイリオ"/>
                          <w:color w:val="000000" w:themeColor="text1"/>
                          <w:sz w:val="22"/>
                        </w:rPr>
                        <w:t>本庁舎東館</w:t>
                      </w:r>
                      <w:r>
                        <w:rPr>
                          <w:rFonts w:hint="eastAsia" w:ascii="メイリオ" w:hAnsi="メイリオ" w:eastAsia="メイリオ"/>
                          <w:color w:val="000000" w:themeColor="text1"/>
                          <w:sz w:val="22"/>
                        </w:rPr>
                        <w:t>1</w:t>
                      </w:r>
                      <w:r>
                        <w:rPr>
                          <w:rFonts w:hint="eastAsia" w:ascii="メイリオ" w:hAnsi="メイリオ" w:eastAsia="メイリオ"/>
                          <w:color w:val="000000" w:themeColor="text1"/>
                          <w:sz w:val="22"/>
                        </w:rPr>
                        <w:t>階（</w:t>
                      </w:r>
                      <w:r>
                        <w:rPr>
                          <w:rFonts w:hint="eastAsia" w:ascii="メイリオ" w:hAnsi="メイリオ" w:eastAsia="メイリオ"/>
                          <w:color w:val="000000" w:themeColor="text1"/>
                          <w:sz w:val="22"/>
                        </w:rPr>
                        <w:t>7</w:t>
                      </w:r>
                      <w:r>
                        <w:rPr>
                          <w:rFonts w:hint="eastAsia" w:ascii="メイリオ" w:hAnsi="メイリオ" w:eastAsia="メイリオ"/>
                          <w:color w:val="000000" w:themeColor="text1"/>
                          <w:sz w:val="22"/>
                        </w:rPr>
                        <w:t>番窓口）</w:t>
                      </w:r>
                    </w:p>
                    <w:p>
                      <w:pPr>
                        <w:pStyle w:val="0"/>
                        <w:spacing w:line="300" w:lineRule="exact"/>
                        <w:jc w:val="left"/>
                        <w:rPr>
                          <w:rFonts w:hint="default"/>
                        </w:rPr>
                      </w:pPr>
                      <w:r>
                        <w:rPr>
                          <w:rFonts w:hint="eastAsia" w:ascii="メイリオ" w:hAnsi="メイリオ" w:eastAsia="メイリオ"/>
                          <w:color w:val="000000" w:themeColor="text1"/>
                          <w:sz w:val="22"/>
                        </w:rPr>
                        <w:t>電話番号　</w:t>
                      </w:r>
                      <w:r>
                        <w:rPr>
                          <w:rFonts w:hint="eastAsia" w:ascii="メイリオ" w:hAnsi="メイリオ" w:eastAsia="メイリオ"/>
                          <w:color w:val="000000" w:themeColor="text1"/>
                          <w:sz w:val="22"/>
                        </w:rPr>
                        <w:t>0596-21-5646</w:t>
                      </w:r>
                      <w:r>
                        <w:rPr>
                          <w:rFonts w:hint="eastAsia" w:ascii="メイリオ" w:hAnsi="メイリオ" w:eastAsia="メイリオ"/>
                          <w:color w:val="000000" w:themeColor="text1"/>
                          <w:sz w:val="22"/>
                        </w:rPr>
                        <w:t>　　</w:t>
                      </w:r>
                      <w:r>
                        <w:rPr>
                          <w:rFonts w:hint="eastAsia" w:ascii="メイリオ" w:hAnsi="メイリオ" w:eastAsia="メイリオ"/>
                          <w:color w:val="000000" w:themeColor="text1"/>
                          <w:sz w:val="22"/>
                        </w:rPr>
                        <w:t>FAX</w:t>
                      </w:r>
                      <w:r>
                        <w:rPr>
                          <w:rFonts w:hint="eastAsia" w:ascii="メイリオ" w:hAnsi="メイリオ" w:eastAsia="メイリオ"/>
                          <w:color w:val="000000" w:themeColor="text1"/>
                          <w:sz w:val="22"/>
                        </w:rPr>
                        <w:t>　</w:t>
                      </w:r>
                      <w:r>
                        <w:rPr>
                          <w:rFonts w:hint="eastAsia" w:ascii="メイリオ" w:hAnsi="メイリオ" w:eastAsia="メイリオ"/>
                          <w:color w:val="000000" w:themeColor="text1"/>
                          <w:sz w:val="22"/>
                        </w:rPr>
                        <w:t>0596-20-8555</w:t>
                      </w:r>
                    </w:p>
                  </w:txbxContent>
                </v:textbox>
                <v:imagedata o:title=""/>
                <w10:wrap type="none" anchorx="page" anchory="text"/>
              </v:rect>
            </w:pict>
          </mc:Fallback>
        </mc:AlternateContent>
      </w:r>
      <w:r>
        <w:rPr>
          <w:rFonts w:hint="default"/>
        </w:rPr>
        <mc:AlternateContent>
          <mc:Choice Requires="wps">
            <w:drawing>
              <wp:anchor distT="0" distB="0" distL="203200" distR="203200" simplePos="0" relativeHeight="2" behindDoc="0" locked="0" layoutInCell="1" hidden="0" allowOverlap="1">
                <wp:simplePos x="0" y="0"/>
                <wp:positionH relativeFrom="column">
                  <wp:posOffset>340995</wp:posOffset>
                </wp:positionH>
                <wp:positionV relativeFrom="paragraph">
                  <wp:posOffset>456565</wp:posOffset>
                </wp:positionV>
                <wp:extent cx="1323975" cy="628015"/>
                <wp:effectExtent l="635" t="635" r="29845" b="10795"/>
                <wp:wrapNone/>
                <wp:docPr id="1027" name="角丸四角形 1"/>
                <a:graphic xmlns:a="http://schemas.openxmlformats.org/drawingml/2006/main">
                  <a:graphicData uri="http://schemas.microsoft.com/office/word/2010/wordprocessingShape">
                    <wps:wsp>
                      <wps:cNvPr id="1027" name="角丸四角形 1"/>
                      <wps:cNvSpPr/>
                      <wps:spPr>
                        <a:xfrm>
                          <a:off x="0" y="0"/>
                          <a:ext cx="1323975" cy="628015"/>
                        </a:xfrm>
                        <a:prstGeom prst="roundRect">
                          <a:avLst/>
                        </a:prstGeom>
                        <a:solidFill>
                          <a:schemeClr val="bg1">
                            <a:lumMod val="65000"/>
                          </a:schemeClr>
                        </a:solidFill>
                        <a:ln w="25400" cap="flat" cmpd="sng" algn="ctr">
                          <a:solidFill>
                            <a:schemeClr val="bg1">
                              <a:lumMod val="6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300" w:lineRule="exact"/>
                              <w:jc w:val="center"/>
                              <w:rPr>
                                <w:rFonts w:hint="default" w:ascii="メイリオ" w:hAnsi="メイリオ" w:eastAsia="メイリオ"/>
                                <w:sz w:val="22"/>
                              </w:rPr>
                            </w:pPr>
                            <w:r>
                              <w:rPr>
                                <w:rFonts w:hint="eastAsia" w:ascii="メイリオ" w:hAnsi="メイリオ" w:eastAsia="メイリオ"/>
                                <w:sz w:val="22"/>
                              </w:rPr>
                              <w:t>お問い合わせは</w:t>
                            </w:r>
                          </w:p>
                          <w:p>
                            <w:pPr>
                              <w:pStyle w:val="0"/>
                              <w:spacing w:line="300" w:lineRule="exact"/>
                              <w:jc w:val="center"/>
                              <w:rPr>
                                <w:rFonts w:hint="default"/>
                              </w:rPr>
                            </w:pPr>
                            <w:r>
                              <w:rPr>
                                <w:rFonts w:hint="eastAsia" w:ascii="メイリオ" w:hAnsi="メイリオ" w:eastAsia="メイリオ"/>
                                <w:sz w:val="22"/>
                              </w:rPr>
                              <w:t>こちらまで</w:t>
                            </w:r>
                          </w:p>
                        </w:txbxContent>
                      </wps:txbx>
                      <wps:bodyPr vertOverflow="overflow" horzOverflow="overflow" wrap="square" anchor="ctr"/>
                    </wps:wsp>
                  </a:graphicData>
                </a:graphic>
              </wp:anchor>
            </w:drawing>
          </mc:Choice>
          <mc:Fallback>
            <w:pict>
              <v:roundrect id="角丸四角形 1" style="mso-position-vertical-relative:text;z-index:2;mso-wrap-distance-left:16pt;width:104.25pt;height:49.45pt;mso-position-horizontal-relative:text;position:absolute;margin-left:26.85pt;margin-top:35.950000000000003pt;mso-wrap-distance-bottom:0pt;mso-wrap-distance-right:16pt;mso-wrap-distance-top:0pt;v-text-anchor:middle;" o:spid="_x0000_s1027" o:allowincell="t" o:allowoverlap="t" filled="t" fillcolor="#a6a6a6 [2092]" stroked="t" strokecolor="#a6a6a6 [2092]" strokeweight="2pt" o:spt="2" arcsize="10923f">
                <v:fill/>
                <v:stroke linestyle="single" endcap="flat" dashstyle="solid" filltype="solid"/>
                <v:textbox style="layout-flow:horizontal;">
                  <w:txbxContent>
                    <w:p>
                      <w:pPr>
                        <w:pStyle w:val="0"/>
                        <w:spacing w:line="300" w:lineRule="exact"/>
                        <w:jc w:val="center"/>
                        <w:rPr>
                          <w:rFonts w:hint="default" w:ascii="メイリオ" w:hAnsi="メイリオ" w:eastAsia="メイリオ"/>
                          <w:sz w:val="22"/>
                        </w:rPr>
                      </w:pPr>
                      <w:r>
                        <w:rPr>
                          <w:rFonts w:hint="eastAsia" w:ascii="メイリオ" w:hAnsi="メイリオ" w:eastAsia="メイリオ"/>
                          <w:sz w:val="22"/>
                        </w:rPr>
                        <w:t>お問い合わせは</w:t>
                      </w:r>
                    </w:p>
                    <w:p>
                      <w:pPr>
                        <w:pStyle w:val="0"/>
                        <w:spacing w:line="300" w:lineRule="exact"/>
                        <w:jc w:val="center"/>
                        <w:rPr>
                          <w:rFonts w:hint="default"/>
                        </w:rPr>
                      </w:pPr>
                      <w:r>
                        <w:rPr>
                          <w:rFonts w:hint="eastAsia" w:ascii="メイリオ" w:hAnsi="メイリオ" w:eastAsia="メイリオ"/>
                          <w:sz w:val="22"/>
                        </w:rPr>
                        <w:t>こちらまで</w:t>
                      </w:r>
                    </w:p>
                  </w:txbxContent>
                </v:textbox>
                <v:imagedata o:title=""/>
                <w10:wrap type="none" anchorx="text" anchory="text"/>
              </v:roundrect>
            </w:pict>
          </mc:Fallback>
        </mc:AlternateContent>
      </w:r>
      <w:bookmarkStart w:id="0" w:name="_GoBack"/>
      <w:bookmarkEnd w:id="0"/>
    </w:p>
    <w:sectPr>
      <w:pgSz w:w="11907" w:h="16839"/>
      <w:pgMar w:top="567" w:right="737" w:bottom="567" w:left="45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4A3072"/>
    <w:lvl w:ilvl="0" w:tplc="FA6A5DC2">
      <w:start w:val="1"/>
      <w:numFmt w:val="decimal"/>
      <w:lvlText w:val="%1."/>
      <w:lvlJc w:val="left"/>
      <w:pPr>
        <w:ind w:left="420" w:hanging="420"/>
      </w:pPr>
      <w:rPr>
        <w:b w:val="1"/>
        <w:sz w:val="2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570</TotalTime>
  <Pages>1</Pages>
  <Words>208</Words>
  <Characters>1189</Characters>
  <Application>JUST Note</Application>
  <Lines>9</Lines>
  <Paragraphs>2</Paragraphs>
  <Company>伊勢市</Company>
  <CharactersWithSpaces>1395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多田 栄二</dc:creator>
  <cp:lastModifiedBy>鈴木 友美</cp:lastModifiedBy>
  <cp:lastPrinted>2025-07-23T06:58:52Z</cp:lastPrinted>
  <dcterms:created xsi:type="dcterms:W3CDTF">2022-05-26T02:58:00Z</dcterms:created>
  <dcterms:modified xsi:type="dcterms:W3CDTF">2025-07-23T07:06:20Z</dcterms:modified>
  <cp:revision>29</cp:revision>
</cp:coreProperties>
</file>